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39342D"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39342D"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580CF8">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580CF8">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580CF8">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580CF8">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580CF8">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580CF8">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580CF8">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580CF8">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580CF8">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39342D"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07FAA598" w14:textId="77777777" w:rsidR="0039342D" w:rsidRPr="0039342D" w:rsidRDefault="0039342D" w:rsidP="0039342D">
    <w:pPr>
      <w:pStyle w:val="Nagwek"/>
      <w:spacing w:line="240" w:lineRule="auto"/>
      <w:ind w:left="142"/>
      <w:jc w:val="right"/>
      <w:rPr>
        <w:i/>
        <w:sz w:val="16"/>
      </w:rPr>
    </w:pPr>
  </w:p>
  <w:p w14:paraId="4B4345D9" w14:textId="35AF6135" w:rsidR="0039342D" w:rsidRDefault="0039342D" w:rsidP="0039342D">
    <w:pPr>
      <w:pStyle w:val="Nagwek"/>
      <w:tabs>
        <w:tab w:val="clear" w:pos="4536"/>
      </w:tabs>
      <w:spacing w:line="240" w:lineRule="auto"/>
      <w:ind w:left="142"/>
      <w:jc w:val="right"/>
      <w:rPr>
        <w:i/>
        <w:sz w:val="16"/>
      </w:rPr>
    </w:pPr>
    <w:r w:rsidRPr="0039342D">
      <w:rPr>
        <w:i/>
        <w:sz w:val="16"/>
      </w:rPr>
      <w:t>POST/DYS/OLD/GZ/04376/2025</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772170045">
    <w:abstractNumId w:val="2"/>
  </w:num>
  <w:num w:numId="2" w16cid:durableId="1026058753">
    <w:abstractNumId w:val="30"/>
    <w:lvlOverride w:ilvl="0">
      <w:startOverride w:val="1"/>
    </w:lvlOverride>
  </w:num>
  <w:num w:numId="3" w16cid:durableId="1676110552">
    <w:abstractNumId w:val="12"/>
  </w:num>
  <w:num w:numId="4" w16cid:durableId="537164340">
    <w:abstractNumId w:val="32"/>
  </w:num>
  <w:num w:numId="5" w16cid:durableId="820003100">
    <w:abstractNumId w:val="35"/>
  </w:num>
  <w:num w:numId="6" w16cid:durableId="2100364466">
    <w:abstractNumId w:val="40"/>
  </w:num>
  <w:num w:numId="7" w16cid:durableId="22026006">
    <w:abstractNumId w:val="33"/>
  </w:num>
  <w:num w:numId="8" w16cid:durableId="597757896">
    <w:abstractNumId w:val="10"/>
  </w:num>
  <w:num w:numId="9" w16cid:durableId="662196597">
    <w:abstractNumId w:val="31"/>
  </w:num>
  <w:num w:numId="10" w16cid:durableId="1497301561">
    <w:abstractNumId w:val="1"/>
  </w:num>
  <w:num w:numId="11" w16cid:durableId="1292590694">
    <w:abstractNumId w:val="29"/>
  </w:num>
  <w:num w:numId="12" w16cid:durableId="414977254">
    <w:abstractNumId w:val="13"/>
  </w:num>
  <w:num w:numId="13" w16cid:durableId="11645137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3018646">
    <w:abstractNumId w:val="24"/>
  </w:num>
  <w:num w:numId="15" w16cid:durableId="1221359569">
    <w:abstractNumId w:val="4"/>
  </w:num>
  <w:num w:numId="16" w16cid:durableId="584732358">
    <w:abstractNumId w:val="35"/>
    <w:lvlOverride w:ilvl="0">
      <w:startOverride w:val="1"/>
    </w:lvlOverride>
  </w:num>
  <w:num w:numId="17" w16cid:durableId="123815198">
    <w:abstractNumId w:val="3"/>
  </w:num>
  <w:num w:numId="18" w16cid:durableId="196504139">
    <w:abstractNumId w:val="16"/>
  </w:num>
  <w:num w:numId="19" w16cid:durableId="1440536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32755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38516767">
    <w:abstractNumId w:val="3"/>
  </w:num>
  <w:num w:numId="22" w16cid:durableId="78448538">
    <w:abstractNumId w:val="7"/>
  </w:num>
  <w:num w:numId="23" w16cid:durableId="9816199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22942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479855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62945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864223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0971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88677894">
    <w:abstractNumId w:val="18"/>
  </w:num>
  <w:num w:numId="30" w16cid:durableId="1558861308">
    <w:abstractNumId w:val="23"/>
  </w:num>
  <w:num w:numId="31" w16cid:durableId="2008897749">
    <w:abstractNumId w:val="36"/>
  </w:num>
  <w:num w:numId="32" w16cid:durableId="1883321605">
    <w:abstractNumId w:val="21"/>
  </w:num>
  <w:num w:numId="33" w16cid:durableId="875121565">
    <w:abstractNumId w:val="17"/>
  </w:num>
  <w:num w:numId="34" w16cid:durableId="824708301">
    <w:abstractNumId w:val="30"/>
  </w:num>
  <w:num w:numId="35" w16cid:durableId="1840734537">
    <w:abstractNumId w:val="20"/>
  </w:num>
  <w:num w:numId="36" w16cid:durableId="43800919">
    <w:abstractNumId w:val="38"/>
  </w:num>
  <w:num w:numId="37" w16cid:durableId="1661424988">
    <w:abstractNumId w:val="28"/>
  </w:num>
  <w:num w:numId="38" w16cid:durableId="2130540118">
    <w:abstractNumId w:val="5"/>
  </w:num>
  <w:num w:numId="39" w16cid:durableId="686635509">
    <w:abstractNumId w:val="25"/>
  </w:num>
  <w:num w:numId="40" w16cid:durableId="431707496">
    <w:abstractNumId w:val="26"/>
  </w:num>
  <w:num w:numId="41" w16cid:durableId="882326426">
    <w:abstractNumId w:val="14"/>
  </w:num>
  <w:num w:numId="42" w16cid:durableId="19217876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758849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86343378">
    <w:abstractNumId w:val="8"/>
  </w:num>
  <w:num w:numId="45" w16cid:durableId="14547131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12122228">
    <w:abstractNumId w:val="9"/>
  </w:num>
  <w:num w:numId="47" w16cid:durableId="227814320">
    <w:abstractNumId w:val="6"/>
  </w:num>
  <w:num w:numId="48" w16cid:durableId="1750805339">
    <w:abstractNumId w:val="34"/>
  </w:num>
  <w:num w:numId="49" w16cid:durableId="1408769307">
    <w:abstractNumId w:val="27"/>
  </w:num>
  <w:num w:numId="50" w16cid:durableId="519248368">
    <w:abstractNumId w:val="15"/>
  </w:num>
  <w:num w:numId="51" w16cid:durableId="1985113246">
    <w:abstractNumId w:val="22"/>
  </w:num>
  <w:num w:numId="52" w16cid:durableId="10759812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72647692">
    <w:abstractNumId w:val="37"/>
  </w:num>
  <w:num w:numId="54" w16cid:durableId="87502626">
    <w:abstractNumId w:val="3"/>
    <w:lvlOverride w:ilvl="0">
      <w:startOverride w:val="1"/>
    </w:lvlOverride>
    <w:lvlOverride w:ilvl="1">
      <w:startOverride w:val="1"/>
    </w:lvlOverride>
  </w:num>
  <w:num w:numId="55" w16cid:durableId="11906046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98021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5416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25725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893470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033894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551527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745969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355311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46547310">
    <w:abstractNumId w:val="32"/>
    <w:lvlOverride w:ilvl="0">
      <w:startOverride w:val="1"/>
    </w:lvlOverride>
  </w:num>
  <w:num w:numId="65" w16cid:durableId="1644190065">
    <w:abstractNumId w:val="39"/>
  </w:num>
  <w:num w:numId="66" w16cid:durableId="1777561309">
    <w:abstractNumId w:val="19"/>
  </w:num>
  <w:num w:numId="67" w16cid:durableId="1730762056">
    <w:abstractNumId w:val="0"/>
  </w:num>
  <w:num w:numId="68" w16cid:durableId="1203177920">
    <w:abstractNumId w:val="3"/>
  </w:num>
  <w:num w:numId="69" w16cid:durableId="432821343">
    <w:abstractNumId w:val="41"/>
  </w:num>
  <w:num w:numId="70" w16cid:durableId="548495916">
    <w:abstractNumId w:val="3"/>
  </w:num>
  <w:num w:numId="71" w16cid:durableId="1402144936">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CC0"/>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42D"/>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0CF8"/>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B9E"/>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3.docx</dmsv2BaseFileName>
    <dmsv2BaseDisplayName xmlns="http://schemas.microsoft.com/sharepoint/v3">Załącznik nr 5 do SWZ część 3</dmsv2BaseDisplayName>
    <dmsv2SWPP2ObjectNumber xmlns="http://schemas.microsoft.com/sharepoint/v3">POST/DYS/OLD/GZ/04376/2025                        </dmsv2SWPP2ObjectNumber>
    <dmsv2SWPP2SumMD5 xmlns="http://schemas.microsoft.com/sharepoint/v3">5cf6fa6b843482436f7edde10396620f</dmsv2SWPP2SumMD5>
    <dmsv2BaseMoved xmlns="http://schemas.microsoft.com/sharepoint/v3">false</dmsv2BaseMoved>
    <dmsv2BaseIsSensitive xmlns="http://schemas.microsoft.com/sharepoint/v3">true</dmsv2BaseIsSensitive>
    <dmsv2SWPP2IDSWPP2 xmlns="http://schemas.microsoft.com/sharepoint/v3">700749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23914505</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JEUP5JKVCYQC-1440096624-14729</_dlc_DocId>
    <_dlc_DocIdUrl xmlns="a19cb1c7-c5c7-46d4-85ae-d83685407bba">
      <Url>https://swpp2.dms.gkpge.pl/sites/41/_layouts/15/DocIdRedir.aspx?ID=JEUP5JKVCYQC-1440096624-14729</Url>
      <Description>JEUP5JKVCYQC-1440096624-14729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DF71290D-D58E-43E3-AD5E-532CE8D46996}"/>
</file>

<file path=docProps/app.xml><?xml version="1.0" encoding="utf-8"?>
<Properties xmlns="http://schemas.openxmlformats.org/officeDocument/2006/extended-properties" xmlns:vt="http://schemas.openxmlformats.org/officeDocument/2006/docPropsVTypes">
  <Template>Normal</Template>
  <TotalTime>0</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2025-12-04T05:58:00Z</dcterms:created>
  <dcterms:modified xsi:type="dcterms:W3CDTF">2025-12-04T05:58:00Z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ocset_NoMedatataSyncRequired">
    <vt:lpwstr>False</vt:lpwstr>
  </property>
  <property fmtid="{D5CDD505-2E9C-101B-9397-08002B2CF9AE}" pid="4" name="_dlc_DocIdItemGuid">
    <vt:lpwstr>6bb33f1f-91f8-4926-a2cc-7697a9e43c96</vt:lpwstr>
  </property>
</Properties>
</file>